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41"/>
      </w:tblGrid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9900"/>
            <w:vAlign w:val="center"/>
            <w:hideMark/>
          </w:tcPr>
          <w:p w:rsidR="002A2346" w:rsidRPr="002A2346" w:rsidRDefault="002A2346" w:rsidP="002A23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6"/>
                <w:szCs w:val="13"/>
                <w:lang w:eastAsia="fr-FR"/>
              </w:rPr>
              <w:t>formation de base</w:t>
            </w:r>
            <w:r w:rsidRPr="002A2346"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6"/>
                <w:szCs w:val="13"/>
                <w:lang w:eastAsia="fr-FR"/>
              </w:rPr>
              <w:br/>
              <w:t>en Prévention des risques liés à l'Activité Physique</w:t>
            </w: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25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CC"/>
            <w:vAlign w:val="center"/>
            <w:hideMark/>
          </w:tcPr>
          <w:p w:rsidR="002A2346" w:rsidRPr="002A2346" w:rsidRDefault="002A2346" w:rsidP="002A234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  <w:proofErr w:type="gramStart"/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3"/>
                <w:szCs w:val="9"/>
                <w:lang w:eastAsia="fr-FR"/>
              </w:rPr>
              <w:t>IBC</w:t>
            </w:r>
            <w:proofErr w:type="gramEnd"/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3"/>
                <w:szCs w:val="9"/>
                <w:lang w:eastAsia="fr-FR"/>
              </w:rPr>
              <w:br/>
            </w:r>
            <w:r w:rsidRPr="002A2346">
              <w:rPr>
                <w:rFonts w:ascii="Verdana" w:eastAsia="Times New Roman" w:hAnsi="Verdana" w:cs="Times New Roman"/>
                <w:i/>
                <w:iCs/>
                <w:color w:val="000066"/>
                <w:w w:val="100"/>
                <w:sz w:val="13"/>
                <w:szCs w:val="9"/>
                <w:lang w:eastAsia="fr-FR"/>
              </w:rPr>
              <w:t>(Industrie, Bâtiment, Commerce)</w:t>
            </w:r>
          </w:p>
        </w:tc>
        <w:tc>
          <w:tcPr>
            <w:tcW w:w="25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CC99"/>
            <w:vAlign w:val="center"/>
            <w:hideMark/>
          </w:tcPr>
          <w:p w:rsidR="002A2346" w:rsidRPr="002A2346" w:rsidRDefault="002A2346" w:rsidP="002A234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  <w:proofErr w:type="gramStart"/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3"/>
                <w:szCs w:val="9"/>
                <w:lang w:eastAsia="fr-FR"/>
              </w:rPr>
              <w:t>3S</w:t>
            </w:r>
            <w:proofErr w:type="gramEnd"/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br/>
            </w:r>
            <w:r w:rsidRPr="002A2346">
              <w:rPr>
                <w:rFonts w:ascii="Verdana" w:eastAsia="Times New Roman" w:hAnsi="Verdana" w:cs="Times New Roman"/>
                <w:i/>
                <w:iCs/>
                <w:color w:val="000066"/>
                <w:w w:val="100"/>
                <w:sz w:val="13"/>
                <w:szCs w:val="9"/>
                <w:lang w:eastAsia="fr-FR"/>
              </w:rPr>
              <w:t>(secteur sanitaire et social)</w:t>
            </w: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</w:pPr>
            <w:hyperlink r:id="rId5" w:tgtFrame="_blank" w:history="1">
              <w:r w:rsidRPr="002A2346">
                <w:rPr>
                  <w:rFonts w:ascii="Verdana" w:eastAsia="Times New Roman" w:hAnsi="Verdana" w:cs="Times New Roman"/>
                  <w:b/>
                  <w:bCs/>
                  <w:color w:val="000066"/>
                  <w:w w:val="100"/>
                  <w:sz w:val="13"/>
                  <w:szCs w:val="9"/>
                  <w:u w:val="single"/>
                  <w:shd w:val="clear" w:color="auto" w:fill="FFCC00"/>
                  <w:lang w:eastAsia="fr-FR"/>
                </w:rPr>
                <w:br/>
              </w:r>
              <w:r w:rsidRPr="008F2EA2">
                <w:rPr>
                  <w:rFonts w:ascii="Verdana" w:eastAsia="Times New Roman" w:hAnsi="Verdana" w:cs="Times New Roman"/>
                  <w:b/>
                  <w:bCs/>
                  <w:color w:val="000066"/>
                  <w:w w:val="100"/>
                  <w:sz w:val="13"/>
                  <w:u w:val="single"/>
                  <w:lang w:eastAsia="fr-FR"/>
                </w:rPr>
                <w:t xml:space="preserve">procédures </w:t>
              </w:r>
            </w:hyperlink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  <w:t>objectif</w:t>
            </w: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  <w:t xml:space="preserve">faire acquérir aux futurs salariés et employeurs les compétences leur permettant d'être acteur de la prévention des risques liés à l'activité physique dans leur environnement de travail </w:t>
            </w: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  <w:t>public</w:t>
            </w: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3"/>
                <w:szCs w:val="9"/>
                <w:lang w:eastAsia="fr-FR"/>
              </w:rPr>
              <w:t>en priorité les élèves, étudiants et apprentis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>, préparant un diplôme de l'Education nationale, conformément aux objectifs définis dans les accords nationaux pour l'Enseignement de la Santé et Sécurité au Travail</w:t>
            </w:r>
          </w:p>
          <w:p w:rsidR="002A2346" w:rsidRPr="002A2346" w:rsidRDefault="002A2346" w:rsidP="002A23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 xml:space="preserve">les formations sont étendues aux personnels des établissements qui pourraient être appelés à devenir des </w:t>
            </w: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3"/>
                <w:szCs w:val="9"/>
                <w:lang w:eastAsia="fr-FR"/>
              </w:rPr>
              <w:t>moniteurs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>, en priorité aux enseignants (STI, Biotechnologies, STMS et EPS)</w:t>
            </w:r>
          </w:p>
          <w:p w:rsidR="002A2346" w:rsidRPr="002A2346" w:rsidRDefault="002A2346" w:rsidP="002A23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  <w:hyperlink r:id="rId6" w:tgtFrame="_blank" w:history="1">
              <w:r w:rsidRPr="008F2EA2">
                <w:rPr>
                  <w:rFonts w:ascii="Verdana" w:eastAsia="Times New Roman" w:hAnsi="Verdana" w:cs="Times New Roman"/>
                  <w:b/>
                  <w:bCs/>
                  <w:color w:val="000066"/>
                  <w:w w:val="100"/>
                  <w:sz w:val="13"/>
                  <w:u w:val="single"/>
                  <w:lang w:eastAsia="fr-FR"/>
                </w:rPr>
                <w:t>cas particulier des GRETA</w:t>
              </w:r>
            </w:hyperlink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 xml:space="preserve"> </w:t>
            </w:r>
            <w:proofErr w:type="gramStart"/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>:</w:t>
            </w:r>
            <w:proofErr w:type="gramEnd"/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br/>
              <w:t>les moniteurs formés dans le cadre des accords nationaux pour l'EPRP peuvent, sous certaines conditions, assurer des formations pour le compte d'organismes de formation continue.</w:t>
            </w: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</w:r>
            <w:proofErr w:type="spellStart"/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t>age</w:t>
            </w:r>
            <w:proofErr w:type="spellEnd"/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t xml:space="preserve"> minimum</w:t>
            </w: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3"/>
                <w:szCs w:val="9"/>
                <w:lang w:eastAsia="fr-FR"/>
              </w:rPr>
              <w:t>14 ans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 xml:space="preserve"> dans l'année</w:t>
            </w: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  <w:t xml:space="preserve">taille du groupe </w:t>
            </w: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3"/>
                <w:szCs w:val="9"/>
                <w:lang w:eastAsia="fr-FR"/>
              </w:rPr>
              <w:t>6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 xml:space="preserve"> à </w:t>
            </w: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3"/>
                <w:szCs w:val="9"/>
                <w:lang w:eastAsia="fr-FR"/>
              </w:rPr>
              <w:t>12 personnes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 xml:space="preserve"> par session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br/>
              <w:t>afin de respecter les groupes-classes constitués il est possible d'étendre le groupe à un maximum de 18 personnes.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br/>
              <w:t>Dans ce cas :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br/>
              <w:t xml:space="preserve">- soit la </w:t>
            </w: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3"/>
                <w:szCs w:val="9"/>
                <w:lang w:eastAsia="fr-FR"/>
              </w:rPr>
              <w:t>durée de la session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 xml:space="preserve"> sera </w:t>
            </w: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3"/>
                <w:szCs w:val="9"/>
                <w:lang w:eastAsia="fr-FR"/>
              </w:rPr>
              <w:t>allongée d'1 heure par personne supplémentaire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 xml:space="preserve"> au-delà de 12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br/>
              <w:t xml:space="preserve">- soit la formation sera assurée par </w:t>
            </w: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3"/>
                <w:szCs w:val="9"/>
                <w:lang w:eastAsia="fr-FR"/>
              </w:rPr>
              <w:t>deux moniteurs</w:t>
            </w: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  <w:t>durée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CC"/>
            <w:hideMark/>
          </w:tcPr>
          <w:p w:rsidR="002A2346" w:rsidRPr="002A2346" w:rsidRDefault="002A2346" w:rsidP="002A234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3"/>
                <w:szCs w:val="9"/>
                <w:lang w:eastAsia="fr-FR"/>
              </w:rPr>
              <w:t>12 heures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 xml:space="preserve"> en face à face pédagogique réparties en plusieurs séances (voir programme de formation)</w:t>
            </w:r>
          </w:p>
          <w:p w:rsidR="002A2346" w:rsidRPr="002A2346" w:rsidRDefault="002A2346" w:rsidP="002A234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i/>
                <w:iCs/>
                <w:color w:val="000066"/>
                <w:w w:val="100"/>
                <w:sz w:val="13"/>
                <w:szCs w:val="9"/>
                <w:lang w:eastAsia="fr-FR"/>
              </w:rPr>
              <w:t>Pour les élèves et les apprentis, il est recommandé de scinder le programme en 6 séances de 2 heures, sur 2 à 3 semaines consécutives en première année de formation professionnelle initiale, avant la période de formation en entreprise.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CC99"/>
            <w:hideMark/>
          </w:tcPr>
          <w:p w:rsidR="002A2346" w:rsidRPr="002A2346" w:rsidRDefault="002A2346" w:rsidP="002A234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3"/>
                <w:szCs w:val="9"/>
                <w:lang w:eastAsia="fr-FR"/>
              </w:rPr>
              <w:t>24 heures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 xml:space="preserve"> en face à face pédagogique réparties en plusieurs séances, de préférence avant la période de formation en entreprise (voir programme de formation)</w:t>
            </w: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  <w:t>compétences attendues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  <w:t>situer la place de l’activité physique dans les situations de travail</w:t>
            </w:r>
          </w:p>
          <w:p w:rsidR="002A2346" w:rsidRPr="002A2346" w:rsidRDefault="002A2346" w:rsidP="002A23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  <w:t>situer l’importance des atteintes à la santé (accidents du travail et maladies professionnelles liés à l’activité physique) et les enjeux</w:t>
            </w:r>
          </w:p>
          <w:p w:rsidR="002A2346" w:rsidRPr="002A2346" w:rsidRDefault="002A2346" w:rsidP="002A23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  <w:t xml:space="preserve">identifier et caractériser les risques liés à la manipulation et au transport manuel de charges (et) à l’aide aux activités motrices des </w:t>
            </w:r>
            <w:proofErr w:type="spellStart"/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  <w:t>personnes</w:t>
            </w:r>
            <w:proofErr w:type="gramStart"/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  <w:t>,et</w:t>
            </w:r>
            <w:proofErr w:type="spellEnd"/>
            <w:proofErr w:type="gramEnd"/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  <w:t xml:space="preserve"> aux postures de travail en utilisant les connaissances anatomiques et physiologiques du corps humain</w:t>
            </w:r>
          </w:p>
          <w:p w:rsidR="002A2346" w:rsidRPr="002A2346" w:rsidRDefault="002A2346" w:rsidP="002A23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  <w:t>identifier les éléments qui déterminent l’activité physique au(x)poste(s) de travail et énoncer les mesures de Prévention des Risques liés à l’Activité Physique.</w:t>
            </w:r>
          </w:p>
          <w:p w:rsidR="002A2346" w:rsidRPr="002A2346" w:rsidRDefault="002A2346" w:rsidP="002A23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  <w:r w:rsidRPr="008F2EA2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 xml:space="preserve">appliquer les principes prévention des risques liés à l’activité physique et les principes de base de sécurité physiques et d’économie d’effort pour </w:t>
            </w:r>
          </w:p>
          <w:p w:rsidR="002A2346" w:rsidRPr="002A2346" w:rsidRDefault="002A2346" w:rsidP="002A2346">
            <w:pPr>
              <w:numPr>
                <w:ilvl w:val="3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</w:pPr>
            <w:r w:rsidRPr="008F2EA2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>analyser une situation de travail et proposer des améliorations susceptibles d’éviter ou de réduire les risques liés à l’activité physique,</w:t>
            </w: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  <w:t xml:space="preserve"> </w:t>
            </w:r>
          </w:p>
          <w:p w:rsidR="002A2346" w:rsidRPr="002A2346" w:rsidRDefault="002A2346" w:rsidP="002A2346">
            <w:pPr>
              <w:numPr>
                <w:ilvl w:val="3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  <w:t>limiter les risques liés à la manutention occasionnelle d’objets ou de personnes</w:t>
            </w: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  <w:t>supports pédagogiques</w:t>
            </w: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CC"/>
            <w:vAlign w:val="center"/>
            <w:hideMark/>
          </w:tcPr>
          <w:p w:rsidR="002A2346" w:rsidRPr="002A2346" w:rsidRDefault="002A2346" w:rsidP="002A23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3"/>
                <w:szCs w:val="9"/>
                <w:lang w:eastAsia="fr-FR"/>
              </w:rPr>
              <w:t>ED 1556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 xml:space="preserve"> (en cours d’actualisation):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br/>
              <w:t xml:space="preserve">référentiel de formation des élèves aux techniques de Prévention des Risques liés à l’Activité Physique </w:t>
            </w:r>
          </w:p>
          <w:p w:rsidR="002A2346" w:rsidRPr="002A2346" w:rsidRDefault="002A2346" w:rsidP="002A23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3"/>
                <w:szCs w:val="9"/>
                <w:lang w:eastAsia="fr-FR"/>
              </w:rPr>
              <w:t>ED 1581</w:t>
            </w: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>: aide-mémoire PRAP, destiné exclusivement aux élèves et apprentis.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CC99"/>
            <w:vAlign w:val="center"/>
            <w:hideMark/>
          </w:tcPr>
          <w:p w:rsidR="002A2346" w:rsidRPr="002A2346" w:rsidRDefault="002A2346" w:rsidP="002A23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 xml:space="preserve">document de travail (en cours de validation) : référentiel de formation des élèves et apprentis à la Prévention des Risques liés à l’Activité Physique en secteur sanitaire et social </w:t>
            </w:r>
          </w:p>
          <w:p w:rsidR="002A2346" w:rsidRPr="002A2346" w:rsidRDefault="002A2346" w:rsidP="002A23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color w:val="000066"/>
                <w:w w:val="100"/>
                <w:sz w:val="13"/>
                <w:szCs w:val="9"/>
                <w:lang w:eastAsia="fr-FR"/>
              </w:rPr>
              <w:t>aide mémoire PRAP 3S (en préparation)</w:t>
            </w: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  <w:t>évaluation</w:t>
            </w:r>
          </w:p>
        </w:tc>
      </w:tr>
      <w:tr w:rsidR="002A2346" w:rsidRPr="002A2346" w:rsidTr="002A2346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A2346" w:rsidRPr="002A2346" w:rsidRDefault="002A2346" w:rsidP="002A234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</w:pPr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  <w:t xml:space="preserve">L'évaluation des stagiaires se fait de façon continue au moyen d’une grille d’évaluation définie par l’INRS dans le référentiel de </w:t>
            </w:r>
            <w:proofErr w:type="gramStart"/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  <w:t>formation .</w:t>
            </w:r>
            <w:proofErr w:type="gramEnd"/>
            <w:r w:rsidRPr="002A23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0"/>
                <w:lang w:eastAsia="fr-FR"/>
              </w:rPr>
              <w:br/>
              <w:t>Si elle est satisfaisante le certificat PRAP de l’INRS est délivré par le moniteur ayant assuré la formation.</w:t>
            </w:r>
          </w:p>
        </w:tc>
      </w:tr>
    </w:tbl>
    <w:p w:rsidR="0091094D" w:rsidRPr="008F2EA2" w:rsidRDefault="0091094D">
      <w:pPr>
        <w:rPr>
          <w:sz w:val="22"/>
        </w:rPr>
      </w:pPr>
    </w:p>
    <w:sectPr w:rsidR="0091094D" w:rsidRPr="008F2EA2" w:rsidSect="00910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56C29"/>
    <w:multiLevelType w:val="multilevel"/>
    <w:tmpl w:val="F5D46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2A2346"/>
    <w:rsid w:val="002A2346"/>
    <w:rsid w:val="008F2EA2"/>
    <w:rsid w:val="0091094D"/>
    <w:rsid w:val="00ED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w w:val="125"/>
        <w:sz w:val="18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A2346"/>
    <w:rPr>
      <w:color w:val="000066"/>
      <w:u w:val="single"/>
    </w:rPr>
  </w:style>
  <w:style w:type="paragraph" w:customStyle="1" w:styleId="titre2">
    <w:name w:val="titre2"/>
    <w:basedOn w:val="Normal"/>
    <w:rsid w:val="002A23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66"/>
      <w:w w:val="100"/>
      <w:sz w:val="13"/>
      <w:szCs w:val="13"/>
      <w:lang w:eastAsia="fr-FR"/>
    </w:rPr>
  </w:style>
  <w:style w:type="paragraph" w:styleId="NormalWeb">
    <w:name w:val="Normal (Web)"/>
    <w:basedOn w:val="Normal"/>
    <w:uiPriority w:val="99"/>
    <w:unhideWhenUsed/>
    <w:rsid w:val="002A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w w:val="100"/>
      <w:sz w:val="24"/>
      <w:lang w:eastAsia="fr-FR"/>
    </w:rPr>
  </w:style>
  <w:style w:type="character" w:customStyle="1" w:styleId="titrejaune1">
    <w:name w:val="titrejaune1"/>
    <w:basedOn w:val="Policepardfaut"/>
    <w:rsid w:val="002A2346"/>
    <w:rPr>
      <w:rFonts w:ascii="Verdana" w:hAnsi="Verdana" w:hint="default"/>
      <w:b/>
      <w:bCs/>
      <w:color w:val="000066"/>
      <w:sz w:val="9"/>
      <w:szCs w:val="9"/>
      <w:shd w:val="clear" w:color="auto" w:fill="FFCC00"/>
    </w:rPr>
  </w:style>
  <w:style w:type="character" w:customStyle="1" w:styleId="titre11">
    <w:name w:val="titre11"/>
    <w:basedOn w:val="Policepardfaut"/>
    <w:rsid w:val="002A2346"/>
    <w:rPr>
      <w:rFonts w:ascii="Verdana" w:hAnsi="Verdana" w:hint="default"/>
      <w:b/>
      <w:bCs/>
      <w:color w:val="000066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st-inrs.fr/cerp/greta.htm" TargetMode="External"/><Relationship Id="rId5" Type="http://schemas.openxmlformats.org/officeDocument/2006/relationships/hyperlink" Target="http://www.esst-inrs.fr/cerp/procedur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3144</Characters>
  <Application>Microsoft Office Word</Application>
  <DocSecurity>0</DocSecurity>
  <Lines>26</Lines>
  <Paragraphs>7</Paragraphs>
  <ScaleCrop>false</ScaleCrop>
  <Company>HP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 TETOT</dc:creator>
  <cp:lastModifiedBy>JC TETOT</cp:lastModifiedBy>
  <cp:revision>2</cp:revision>
  <dcterms:created xsi:type="dcterms:W3CDTF">2011-10-29T06:49:00Z</dcterms:created>
  <dcterms:modified xsi:type="dcterms:W3CDTF">2011-10-29T06:50:00Z</dcterms:modified>
</cp:coreProperties>
</file>